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Lead Builders</w:t>
      </w:r>
    </w:p>
    <w:p>
      <w:pPr>
        <w:pStyle w:val="Subtitle"/>
      </w:pPr>
      <w:r>
        <w:rPr>
          <w:b w:val="0"/>
        </w:rPr>
        <w:t>Job description</w:t>
      </w:r>
    </w:p>
    <w:p>
      <w:r>
        <w:rPr>
          <w:b w:val="0"/>
        </w:rPr>
        <w:t>To lead the Create! gathering clearly and warmly, helping the room know what is happening and why. Lead Builders keep the focus on families creating together in response to God.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72"/>
        <w:gridCol w:w="8107"/>
      </w:tblGrid>
      <w:tr>
        <w:trPr>
          <w:cantSplit/>
        </w:trPr>
        <w:tc>
          <w:tcPr>
            <w:tcW w:type="dxa" w:w="1872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DBF36B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/>
                <w:color w:val="000000"/>
                <w:sz w:val="19"/>
              </w:rPr>
              <w:t>Role</w:t>
            </w:r>
          </w:p>
        </w:tc>
        <w:tc>
          <w:tcPr>
            <w:tcW w:type="dxa" w:w="8107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 w:val="0"/>
                <w:color w:val="000000"/>
                <w:sz w:val="19"/>
              </w:rPr>
              <w:t>Lead Builders  -  Front leaders, usually serving as a pair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DBF36B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/>
                <w:color w:val="000000"/>
                <w:sz w:val="19"/>
              </w:rPr>
              <w:t>Reports to</w:t>
            </w:r>
          </w:p>
        </w:tc>
        <w:tc>
          <w:tcPr>
            <w:tcW w:type="dxa" w:w="8107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 w:val="0"/>
                <w:color w:val="000000"/>
                <w:sz w:val="19"/>
              </w:rPr>
              <w:t>Create! lead / clergy lead, with the Safeguarding Lead for any safeguarding concern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DBF36B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/>
                <w:color w:val="000000"/>
                <w:sz w:val="19"/>
              </w:rPr>
              <w:t>Time</w:t>
            </w:r>
          </w:p>
        </w:tc>
        <w:tc>
          <w:tcPr>
            <w:tcW w:type="dxa" w:w="8107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 w:val="0"/>
                <w:color w:val="000000"/>
                <w:sz w:val="19"/>
              </w:rPr>
              <w:t>Monthly Create! session, plus preparation and short team debrief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DBF36B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/>
                <w:color w:val="000000"/>
                <w:sz w:val="19"/>
              </w:rPr>
              <w:t>Training and checks</w:t>
            </w:r>
          </w:p>
        </w:tc>
        <w:tc>
          <w:tcPr>
            <w:tcW w:type="dxa" w:w="8107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 w:val="0"/>
                <w:color w:val="000000"/>
                <w:sz w:val="19"/>
              </w:rPr>
              <w:t>Safeguarding training, self-declaration and the team code of conduct. Complete the safer recruitment checks required for the role.</w:t>
            </w:r>
          </w:p>
        </w:tc>
      </w:tr>
    </w:tbl>
    <w:p>
      <w:pPr>
        <w:pStyle w:val="Heading1"/>
      </w:pPr>
      <w:r>
        <w:t>Families create together</w:t>
      </w:r>
    </w:p>
    <w:p>
      <w:r>
        <w:rPr>
          <w:b w:val="0"/>
        </w:rPr>
        <w:t>Create! is a gathering for families, not a drop-off children's group. Children stay with their parent, carer or responsible adult. The team's job is to help adults and children build, talk, listen, pray and respond together.</w:t>
      </w:r>
    </w:p>
    <w:p>
      <w:r>
        <w:rPr>
          <w:b w:val="0"/>
        </w:rPr>
        <w:t>Team members may chat with children, but normally as part of a family conversation with their adult nearby. Team members should not take children away from their adult, be alone with a child, or promise to keep a safeguarding concern secret.</w:t>
      </w:r>
    </w:p>
    <w:p>
      <w:pPr>
        <w:pStyle w:val="Heading1"/>
      </w:pPr>
      <w:r>
        <w:t>What you do</w:t>
      </w:r>
    </w:p>
    <w:p>
      <w:pPr>
        <w:pStyle w:val="ListBullet"/>
      </w:pPr>
      <w:r>
        <w:rPr>
          <w:b w:val="0"/>
        </w:rPr>
        <w:t>Prepare the story, build prompts, reflection moment and prayer response.</w:t>
      </w:r>
    </w:p>
    <w:p>
      <w:pPr>
        <w:pStyle w:val="ListBullet"/>
      </w:pPr>
      <w:r>
        <w:rPr>
          <w:b w:val="0"/>
        </w:rPr>
        <w:t>Welcome everyone from the front in a way that includes children and grown-ups.</w:t>
      </w:r>
    </w:p>
    <w:p>
      <w:pPr>
        <w:pStyle w:val="ListBullet"/>
      </w:pPr>
      <w:r>
        <w:rPr>
          <w:b w:val="0"/>
        </w:rPr>
        <w:t>Explain the big idea simply, without turning it into a long talk.</w:t>
      </w:r>
    </w:p>
    <w:p>
      <w:pPr>
        <w:pStyle w:val="ListBullet"/>
      </w:pPr>
      <w:r>
        <w:rPr>
          <w:b w:val="0"/>
        </w:rPr>
        <w:t>Keep saying and showing that adults and children are building together.</w:t>
      </w:r>
    </w:p>
    <w:p>
      <w:pPr>
        <w:pStyle w:val="ListBullet"/>
      </w:pPr>
      <w:r>
        <w:rPr>
          <w:b w:val="0"/>
        </w:rPr>
        <w:t>Lead the quick build, story build, showcase, reflection and prayer.</w:t>
      </w:r>
    </w:p>
    <w:p>
      <w:pPr>
        <w:pStyle w:val="ListBullet"/>
      </w:pPr>
      <w:r>
        <w:rPr>
          <w:b w:val="0"/>
        </w:rPr>
        <w:t>Give a one-minute warning before bringing families back together.</w:t>
      </w:r>
    </w:p>
    <w:p>
      <w:pPr>
        <w:pStyle w:val="ListBullet"/>
      </w:pPr>
      <w:r>
        <w:rPr>
          <w:b w:val="0"/>
        </w:rPr>
        <w:t>Invite people to share their creations without putting anyone on the spot.</w:t>
      </w:r>
    </w:p>
    <w:p>
      <w:pPr>
        <w:pStyle w:val="ListBullet"/>
      </w:pPr>
      <w:r>
        <w:rPr>
          <w:b w:val="0"/>
        </w:rPr>
        <w:t>Keep an eye on the room and ask the Welcome Builders or Safeguarding Lead for help when needed.</w:t>
      </w:r>
    </w:p>
    <w:p>
      <w:pPr>
        <w:pStyle w:val="Heading1"/>
        <w:pageBreakBefore/>
      </w:pPr>
      <w:r>
        <w:t>Before during and after</w:t>
      </w:r>
    </w:p>
    <w:p>
      <w:pPr>
        <w:pStyle w:val="Heading2"/>
      </w:pPr>
      <w:r>
        <w:t>Before</w:t>
      </w:r>
    </w:p>
    <w:p>
      <w:pPr>
        <w:pStyle w:val="ListBullet"/>
      </w:pPr>
      <w:r>
        <w:rPr>
          <w:b w:val="0"/>
        </w:rPr>
        <w:t>Check the session plan and who is leading each part.</w:t>
      </w:r>
    </w:p>
    <w:p>
      <w:pPr>
        <w:pStyle w:val="ListBullet"/>
      </w:pPr>
      <w:r>
        <w:rPr>
          <w:b w:val="0"/>
        </w:rPr>
        <w:t>Agree the simple teaching sentence and prayer response.</w:t>
      </w:r>
    </w:p>
    <w:p>
      <w:pPr>
        <w:pStyle w:val="ListBullet"/>
      </w:pPr>
      <w:r>
        <w:rPr>
          <w:b w:val="0"/>
        </w:rPr>
        <w:t>Make sure build prompts help families talk together, not just keep children busy.</w:t>
      </w:r>
    </w:p>
    <w:p>
      <w:pPr>
        <w:pStyle w:val="Heading2"/>
      </w:pPr>
      <w:r>
        <w:t>During</w:t>
      </w:r>
    </w:p>
    <w:p>
      <w:pPr>
        <w:pStyle w:val="ListBullet"/>
      </w:pPr>
      <w:r>
        <w:rPr>
          <w:b w:val="0"/>
        </w:rPr>
        <w:t>Hold the timings gently.</w:t>
      </w:r>
    </w:p>
    <w:p>
      <w:pPr>
        <w:pStyle w:val="ListBullet"/>
      </w:pPr>
      <w:r>
        <w:rPr>
          <w:b w:val="0"/>
        </w:rPr>
        <w:t>Keep instructions short and clear.</w:t>
      </w:r>
    </w:p>
    <w:p>
      <w:pPr>
        <w:pStyle w:val="ListBullet"/>
      </w:pPr>
      <w:r>
        <w:rPr>
          <w:b w:val="0"/>
        </w:rPr>
        <w:t>Model warmth, curiosity and calm.</w:t>
      </w:r>
    </w:p>
    <w:p>
      <w:pPr>
        <w:pStyle w:val="ListBullet"/>
      </w:pPr>
      <w:r>
        <w:rPr>
          <w:b w:val="0"/>
        </w:rPr>
        <w:t>Refer any concern straight to the Safeguarding Lead.</w:t>
      </w:r>
    </w:p>
    <w:p>
      <w:pPr>
        <w:pStyle w:val="Heading2"/>
      </w:pPr>
      <w:r>
        <w:t>After</w:t>
      </w:r>
    </w:p>
    <w:p>
      <w:pPr>
        <w:pStyle w:val="ListBullet"/>
      </w:pPr>
      <w:r>
        <w:rPr>
          <w:b w:val="0"/>
        </w:rPr>
        <w:t>Join the short team debrief.</w:t>
      </w:r>
    </w:p>
    <w:p>
      <w:pPr>
        <w:pStyle w:val="ListBullet"/>
      </w:pPr>
      <w:r>
        <w:rPr>
          <w:b w:val="0"/>
        </w:rPr>
        <w:t>Note what worked, what confused people, and anything to change next time.</w:t>
      </w:r>
    </w:p>
    <w:p>
      <w:pPr>
        <w:pStyle w:val="Heading1"/>
      </w:pPr>
      <w:r>
        <w:t>What this role is not</w:t>
      </w:r>
    </w:p>
    <w:p>
      <w:pPr>
        <w:pStyle w:val="ListBullet"/>
      </w:pPr>
      <w:r>
        <w:rPr>
          <w:b w:val="0"/>
        </w:rPr>
        <w:t>A children's entertainer.</w:t>
      </w:r>
    </w:p>
    <w:p>
      <w:pPr>
        <w:pStyle w:val="ListBullet"/>
      </w:pPr>
      <w:r>
        <w:rPr>
          <w:b w:val="0"/>
        </w:rPr>
        <w:t>A childcare worker.</w:t>
      </w:r>
    </w:p>
    <w:p>
      <w:pPr>
        <w:pStyle w:val="ListBullet"/>
      </w:pPr>
      <w:r>
        <w:rPr>
          <w:b w:val="0"/>
        </w:rPr>
        <w:t>Someone who takes children away from their adult.</w:t>
      </w:r>
    </w:p>
    <w:p>
      <w:pPr>
        <w:pStyle w:val="ListBullet"/>
      </w:pPr>
      <w:r>
        <w:rPr>
          <w:b w:val="0"/>
        </w:rPr>
        <w:t>Someone who needs to have all the clever answers.</w:t>
      </w:r>
    </w:p>
    <w:p>
      <w:pPr>
        <w:pStyle w:val="Heading1"/>
      </w:pPr>
      <w:r>
        <w:t>What you bring</w:t>
      </w:r>
    </w:p>
    <w:p>
      <w:pPr>
        <w:pStyle w:val="ListBullet"/>
      </w:pPr>
      <w:r>
        <w:rPr>
          <w:b w:val="0"/>
        </w:rPr>
        <w:t>Warm and confident in front of a room.</w:t>
      </w:r>
    </w:p>
    <w:p>
      <w:pPr>
        <w:pStyle w:val="ListBullet"/>
      </w:pPr>
      <w:r>
        <w:rPr>
          <w:b w:val="0"/>
        </w:rPr>
        <w:t>Able to keep things simple.</w:t>
      </w:r>
    </w:p>
    <w:p>
      <w:pPr>
        <w:pStyle w:val="ListBullet"/>
      </w:pPr>
      <w:r>
        <w:rPr>
          <w:b w:val="0"/>
        </w:rPr>
        <w:t>Good at including adults and children together.</w:t>
      </w:r>
    </w:p>
    <w:p>
      <w:pPr>
        <w:pStyle w:val="ListBullet"/>
      </w:pPr>
      <w:r>
        <w:rPr>
          <w:b w:val="0"/>
        </w:rPr>
        <w:t>Comfortable with a bit of holy chaos and LEGO on the floor.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964" w:bottom="964" w:left="964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979" w:val="right"/>
      </w:tabs>
    </w:pPr>
    <w:r>
      <w:rPr>
        <w:rFonts w:ascii="Nunito Sans" w:hAnsi="Nunito Sans"/>
        <w:sz w:val="17"/>
      </w:rPr>
      <w:t>Create!  |  Lead Builders</w:t>
      <w:tab/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979" w:val="right"/>
      </w:tabs>
      <w:spacing w:after="0"/>
    </w:pPr>
    <w:r>
      <w:drawing>
        <wp:inline xmlns:a="http://schemas.openxmlformats.org/drawingml/2006/main" xmlns:pic="http://schemas.openxmlformats.org/drawingml/2006/picture">
          <wp:extent cx="603504" cy="603504"/>
          <wp:docPr id="1" name="Picture 1" descr="Create ministry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re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3504" cy="60350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Nunito Sans" w:hAnsi="Nunito Sans"/>
        <w:b/>
        <w:color w:val="000000"/>
        <w:sz w:val="21"/>
      </w:rPr>
      <w:tab/>
      <w:t>Firm foundations. Faith for life.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120"/>
    </w:pPr>
    <w:rPr>
      <w:rFonts w:ascii="Nunito Sans" w:hAnsi="Nunito Sans" w:eastAsia="Nunito Sans" w:cs="Nunito Sans"/>
      <w:b w:val="0"/>
      <w:i w:val="0"/>
      <w:color w:val="000000"/>
      <w:sz w:val="21"/>
      <w:spacing w:val="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Lilita One" w:hAnsi="Lilita One" w:eastAsia="Lilita One" w:cs="Lilita One"/>
      <w:b w:val="0"/>
      <w:bCs/>
      <w:i w:val="0"/>
      <w:color w:val="000000"/>
      <w:sz w:val="36"/>
      <w:szCs w:val="28"/>
      <w:spacing w:val="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Lilita One" w:hAnsi="Lilita One" w:eastAsia="Lilita One" w:cs="Lilita One"/>
      <w:b w:val="0"/>
      <w:bCs/>
      <w:i w:val="0"/>
      <w:color w:val="000000"/>
      <w:sz w:val="26"/>
      <w:szCs w:val="26"/>
      <w:spacing w:val="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="Lilita One" w:hAnsi="Lilita One" w:eastAsia="Lilita One" w:cs="Lilita One"/>
      <w:b w:val="0"/>
      <w:i w:val="0"/>
      <w:color w:val="000000"/>
      <w:spacing w:val="0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Nunito Sans" w:hAnsi="Nunito Sans" w:eastAsia="Nunito Sans" w:cs="Nunito Sans"/>
      <w:b/>
      <w:i w:val="0"/>
      <w:iCs/>
      <w:color w:val="000000"/>
      <w:spacing w:val="0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after="80" w:line="257" w:lineRule="auto"/>
      <w:ind w:left="227" w:hanging="170"/>
      <w:contextualSpacing/>
    </w:pPr>
    <w:rPr>
      <w:rFonts w:ascii="Nunito Sans" w:hAnsi="Nunito Sans" w:eastAsia="Nunito Sans" w:cs="Nunito Sans"/>
      <w:b w:val="0"/>
      <w:i w:val="0"/>
      <w:color w:val="000000"/>
      <w:sz w:val="21"/>
      <w:spacing w:val="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 Builders</dc:title>
  <dc:subject>Create ministry resource</dc:subject>
  <dc:creator>Create!</dc:creator>
  <cp:keywords>Create, ministry, families, firm foundations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