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Example Risk Assessment</w:t>
      </w:r>
    </w:p>
    <w:p>
      <w:pPr>
        <w:pStyle w:val="Subtitle"/>
      </w:pPr>
      <w:r>
        <w:rPr>
          <w:b w:val="0"/>
        </w:rPr>
        <w:t>Family creative worship gathering</w:t>
      </w:r>
    </w:p>
    <w:p>
      <w:r>
        <w:rPr>
          <w:b w:val="0"/>
        </w:rPr>
        <w:t>An example to adapt for your gathering, venue, team and participants. Complete the details, assess the risks and obtain approval before use. This is not a completed or approved assessment.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72"/>
        <w:gridCol w:w="8107"/>
      </w:tblGrid>
      <w:tr>
        <w:trPr>
          <w:cantSplit/>
        </w:trPr>
        <w:tc>
          <w:tcPr>
            <w:tcW w:type="dxa" w:w="1872"/>
            <w:vAlign w:val="center"/>
            <w:tcMar>
              <w:top w:w="85" w:type="dxa"/>
              <w:bottom w:w="85" w:type="dxa"/>
              <w:left w:w="100" w:type="dxa"/>
              <w:right w:w="100" w:type="dxa"/>
            </w:tcMar>
            <w:shd w:fill="DBF36B"/>
          </w:tcPr>
          <w:p>
            <w:pPr>
              <w:spacing w:after="0" w:line="250" w:lineRule="auto"/>
            </w:pPr>
            <w:r>
              <w:rPr>
                <w:rFonts w:ascii="Nunito Sans" w:hAnsi="Nunito Sans"/>
                <w:b/>
                <w:color w:val="000000"/>
                <w:sz w:val="19"/>
              </w:rPr>
              <w:t>Event</w:t>
            </w:r>
          </w:p>
        </w:tc>
        <w:tc>
          <w:tcPr>
            <w:tcW w:type="dxa" w:w="8107"/>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[Gathering name]</w:t>
            </w:r>
          </w:p>
        </w:tc>
      </w:tr>
      <w:tr>
        <w:trPr>
          <w:cantSplit/>
        </w:trPr>
        <w:tc>
          <w:tcPr>
            <w:tcW w:type="dxa" w:w="1872"/>
            <w:vAlign w:val="center"/>
            <w:tcMar>
              <w:top w:w="85" w:type="dxa"/>
              <w:bottom w:w="85" w:type="dxa"/>
              <w:left w:w="100" w:type="dxa"/>
              <w:right w:w="100" w:type="dxa"/>
            </w:tcMar>
            <w:shd w:fill="DBF36B"/>
          </w:tcPr>
          <w:p>
            <w:pPr>
              <w:spacing w:after="0" w:line="250" w:lineRule="auto"/>
            </w:pPr>
            <w:r>
              <w:rPr>
                <w:rFonts w:ascii="Nunito Sans" w:hAnsi="Nunito Sans"/>
                <w:b/>
                <w:color w:val="000000"/>
                <w:sz w:val="19"/>
              </w:rPr>
              <w:t>Date and time</w:t>
            </w:r>
          </w:p>
        </w:tc>
        <w:tc>
          <w:tcPr>
            <w:tcW w:type="dxa" w:w="8107"/>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[Date and session times]</w:t>
            </w:r>
          </w:p>
        </w:tc>
      </w:tr>
      <w:tr>
        <w:trPr>
          <w:cantSplit/>
        </w:trPr>
        <w:tc>
          <w:tcPr>
            <w:tcW w:type="dxa" w:w="1872"/>
            <w:vAlign w:val="center"/>
            <w:tcMar>
              <w:top w:w="85" w:type="dxa"/>
              <w:bottom w:w="85" w:type="dxa"/>
              <w:left w:w="100" w:type="dxa"/>
              <w:right w:w="100" w:type="dxa"/>
            </w:tcMar>
            <w:shd w:fill="DBF36B"/>
          </w:tcPr>
          <w:p>
            <w:pPr>
              <w:spacing w:after="0" w:line="250" w:lineRule="auto"/>
            </w:pPr>
            <w:r>
              <w:rPr>
                <w:rFonts w:ascii="Nunito Sans" w:hAnsi="Nunito Sans"/>
                <w:b/>
                <w:color w:val="000000"/>
                <w:sz w:val="19"/>
              </w:rPr>
              <w:t>Venue</w:t>
            </w:r>
          </w:p>
        </w:tc>
        <w:tc>
          <w:tcPr>
            <w:tcW w:type="dxa" w:w="8107"/>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[Venue, room and entrance]</w:t>
            </w:r>
          </w:p>
        </w:tc>
      </w:tr>
      <w:tr>
        <w:trPr>
          <w:cantSplit/>
        </w:trPr>
        <w:tc>
          <w:tcPr>
            <w:tcW w:type="dxa" w:w="1872"/>
            <w:vAlign w:val="center"/>
            <w:tcMar>
              <w:top w:w="85" w:type="dxa"/>
              <w:bottom w:w="85" w:type="dxa"/>
              <w:left w:w="100" w:type="dxa"/>
              <w:right w:w="100" w:type="dxa"/>
            </w:tcMar>
            <w:shd w:fill="DBF36B"/>
          </w:tcPr>
          <w:p>
            <w:pPr>
              <w:spacing w:after="0" w:line="250" w:lineRule="auto"/>
            </w:pPr>
            <w:r>
              <w:rPr>
                <w:rFonts w:ascii="Nunito Sans" w:hAnsi="Nunito Sans"/>
                <w:b/>
                <w:color w:val="000000"/>
                <w:sz w:val="19"/>
              </w:rPr>
              <w:t>Lead organiser</w:t>
            </w:r>
          </w:p>
        </w:tc>
        <w:tc>
          <w:tcPr>
            <w:tcW w:type="dxa" w:w="8107"/>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[Name and contact details]</w:t>
            </w:r>
          </w:p>
        </w:tc>
      </w:tr>
      <w:tr>
        <w:trPr>
          <w:cantSplit/>
        </w:trPr>
        <w:tc>
          <w:tcPr>
            <w:tcW w:type="dxa" w:w="1872"/>
            <w:vAlign w:val="center"/>
            <w:tcMar>
              <w:top w:w="85" w:type="dxa"/>
              <w:bottom w:w="85" w:type="dxa"/>
              <w:left w:w="100" w:type="dxa"/>
              <w:right w:w="100" w:type="dxa"/>
            </w:tcMar>
            <w:shd w:fill="DBF36B"/>
          </w:tcPr>
          <w:p>
            <w:pPr>
              <w:spacing w:after="0" w:line="250" w:lineRule="auto"/>
            </w:pPr>
            <w:r>
              <w:rPr>
                <w:rFonts w:ascii="Nunito Sans" w:hAnsi="Nunito Sans"/>
                <w:b/>
                <w:color w:val="000000"/>
                <w:sz w:val="19"/>
              </w:rPr>
              <w:t>Safeguarding Lead</w:t>
            </w:r>
          </w:p>
        </w:tc>
        <w:tc>
          <w:tcPr>
            <w:tcW w:type="dxa" w:w="8107"/>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[Name and contact details]</w:t>
            </w:r>
          </w:p>
        </w:tc>
      </w:tr>
      <w:tr>
        <w:trPr>
          <w:cantSplit/>
        </w:trPr>
        <w:tc>
          <w:tcPr>
            <w:tcW w:type="dxa" w:w="1872"/>
            <w:vAlign w:val="center"/>
            <w:tcMar>
              <w:top w:w="85" w:type="dxa"/>
              <w:bottom w:w="85" w:type="dxa"/>
              <w:left w:w="100" w:type="dxa"/>
              <w:right w:w="100" w:type="dxa"/>
            </w:tcMar>
            <w:shd w:fill="DBF36B"/>
          </w:tcPr>
          <w:p>
            <w:pPr>
              <w:spacing w:after="0" w:line="250" w:lineRule="auto"/>
            </w:pPr>
            <w:r>
              <w:rPr>
                <w:rFonts w:ascii="Nunito Sans" w:hAnsi="Nunito Sans"/>
                <w:b/>
                <w:color w:val="000000"/>
                <w:sz w:val="19"/>
              </w:rPr>
              <w:t>First aid</w:t>
            </w:r>
          </w:p>
        </w:tc>
        <w:tc>
          <w:tcPr>
            <w:tcW w:type="dxa" w:w="8107"/>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[Named first aider, kit location and AED location]</w:t>
            </w:r>
          </w:p>
        </w:tc>
      </w:tr>
    </w:tbl>
    <w:p>
      <w:pPr>
        <w:pStyle w:val="Heading1"/>
      </w:pPr>
      <w:r>
        <w:t>Scope and safety approach</w:t>
      </w:r>
    </w:p>
    <w:p>
      <w:r>
        <w:rPr>
          <w:b w:val="0"/>
        </w:rPr>
        <w:t>This assessment covers set-up, the family gathering, refreshments and close-down. It is designed around Create!'s core model: children remain with, build with and reflect with their parent/carer. Create! is not a drop-off activity or a separate parent café.</w:t>
      </w:r>
    </w:p>
    <w:p>
      <w:r>
        <w:rPr>
          <w:b w:val="0"/>
        </w:rPr>
        <w:t>The responsible parent/carer remains responsible for their child throughout, unless a separate, agreed safeguarding arrangement is in place. Staff and volunteers support the whole room, rather than taking children into isolated one-to-one activity.</w:t>
      </w:r>
    </w:p>
    <w:p>
      <w:pPr>
        <w:pStyle w:val="Heading1"/>
      </w:pPr>
      <w:r>
        <w:t>Before opening</w:t>
      </w:r>
    </w:p>
    <w:p>
      <w:r>
        <w:rPr>
          <w:b w:val="0"/>
        </w:rPr>
        <w:t>Do not open the session unless a named Safeguarding Lead is present, a first-aid arrangement is confirmed, exits and evacuation procedure have been checked, the room is safe and within its agreed capacity, and the team has received the briefing.</w:t>
      </w:r>
    </w:p>
    <w:p>
      <w:pPr>
        <w:pStyle w:val="Heading1"/>
      </w:pPr>
      <w:r>
        <w:t>Example team deployment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72"/>
        <w:gridCol w:w="5976"/>
        <w:gridCol w:w="2131"/>
      </w:tblGrid>
      <w:tr>
        <w:trPr>
          <w:cantSplit/>
          <w:tblHeader/>
        </w:trPr>
        <w:tc>
          <w:tcPr>
            <w:tcW w:type="dxa" w:w="1872"/>
            <w:vAlign w:val="center"/>
            <w:tcMar>
              <w:top w:w="85" w:type="dxa"/>
              <w:bottom w:w="85" w:type="dxa"/>
              <w:left w:w="100" w:type="dxa"/>
              <w:right w:w="100" w:type="dxa"/>
            </w:tcMar>
            <w:shd w:fill="6834B7"/>
          </w:tcPr>
          <w:p>
            <w:pPr>
              <w:spacing w:after="0" w:line="250" w:lineRule="auto"/>
            </w:pPr>
            <w:r>
              <w:rPr>
                <w:rFonts w:ascii="Nunito Sans" w:hAnsi="Nunito Sans"/>
                <w:b/>
                <w:color w:val="FFFFFF"/>
                <w:sz w:val="19"/>
              </w:rPr>
              <w:t>Role</w:t>
            </w:r>
          </w:p>
        </w:tc>
        <w:tc>
          <w:tcPr>
            <w:tcW w:type="dxa" w:w="5976"/>
            <w:vAlign w:val="center"/>
            <w:tcMar>
              <w:top w:w="85" w:type="dxa"/>
              <w:bottom w:w="85" w:type="dxa"/>
              <w:left w:w="100" w:type="dxa"/>
              <w:right w:w="100" w:type="dxa"/>
            </w:tcMar>
            <w:shd w:fill="6834B7"/>
          </w:tcPr>
          <w:p>
            <w:pPr>
              <w:spacing w:after="0" w:line="250" w:lineRule="auto"/>
            </w:pPr>
            <w:r>
              <w:rPr>
                <w:rFonts w:ascii="Nunito Sans" w:hAnsi="Nunito Sans"/>
                <w:b/>
                <w:color w:val="FFFFFF"/>
                <w:sz w:val="19"/>
              </w:rPr>
              <w:t>Session responsibility</w:t>
            </w:r>
          </w:p>
        </w:tc>
        <w:tc>
          <w:tcPr>
            <w:tcW w:type="dxa" w:w="2131"/>
            <w:vAlign w:val="center"/>
            <w:tcMar>
              <w:top w:w="85" w:type="dxa"/>
              <w:bottom w:w="85" w:type="dxa"/>
              <w:left w:w="100" w:type="dxa"/>
              <w:right w:w="100" w:type="dxa"/>
            </w:tcMar>
            <w:shd w:fill="6834B7"/>
          </w:tcPr>
          <w:p>
            <w:pPr>
              <w:spacing w:after="0" w:line="250" w:lineRule="auto"/>
            </w:pPr>
            <w:r>
              <w:rPr>
                <w:rFonts w:ascii="Nunito Sans" w:hAnsi="Nunito Sans"/>
                <w:b/>
                <w:color w:val="FFFFFF"/>
                <w:sz w:val="19"/>
              </w:rPr>
              <w:t>Named person</w:t>
            </w:r>
          </w:p>
        </w:tc>
      </w:tr>
      <w:tr>
        <w:trPr>
          <w:cantSplit/>
        </w:trPr>
        <w:tc>
          <w:tcPr>
            <w:tcW w:type="dxa" w:w="1872"/>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2 x Lead Builders</w:t>
            </w:r>
          </w:p>
        </w:tc>
        <w:tc>
          <w:tcPr>
            <w:tcW w:type="dxa" w:w="5976"/>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Welcome, main build, teaching/response; pause the session and direct evacuation if required.</w:t>
            </w:r>
          </w:p>
        </w:tc>
        <w:tc>
          <w:tcPr>
            <w:tcW w:type="dxa" w:w="2131"/>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[Confirm]</w:t>
            </w:r>
          </w:p>
        </w:tc>
      </w:tr>
      <w:tr>
        <w:trPr>
          <w:cantSplit/>
        </w:trPr>
        <w:tc>
          <w:tcPr>
            <w:tcW w:type="dxa" w:w="1872"/>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2 x Welcome Builders</w:t>
            </w:r>
          </w:p>
        </w:tc>
        <w:tc>
          <w:tcPr>
            <w:tcW w:type="dxa" w:w="5976"/>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Door welcome, headcount support, room scanning, family support, route/exits kept clear.</w:t>
            </w:r>
          </w:p>
        </w:tc>
        <w:tc>
          <w:tcPr>
            <w:tcW w:type="dxa" w:w="2131"/>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[Confirm]</w:t>
            </w:r>
          </w:p>
        </w:tc>
      </w:tr>
      <w:tr>
        <w:trPr>
          <w:cantSplit/>
        </w:trPr>
        <w:tc>
          <w:tcPr>
            <w:tcW w:type="dxa" w:w="1872"/>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1 x Safeguarding Lead</w:t>
            </w:r>
          </w:p>
        </w:tc>
        <w:tc>
          <w:tcPr>
            <w:tcW w:type="dxa" w:w="5976"/>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Visible safeguarding presence; receives concerns; oversees lost-child and incident response.</w:t>
            </w:r>
          </w:p>
        </w:tc>
        <w:tc>
          <w:tcPr>
            <w:tcW w:type="dxa" w:w="2131"/>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[Confirm]</w:t>
            </w:r>
          </w:p>
        </w:tc>
      </w:tr>
      <w:tr>
        <w:trPr>
          <w:cantSplit/>
        </w:trPr>
        <w:tc>
          <w:tcPr>
            <w:tcW w:type="dxa" w:w="1872"/>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2 x Fuel Builders</w:t>
            </w:r>
          </w:p>
        </w:tc>
        <w:tc>
          <w:tcPr>
            <w:tcW w:type="dxa" w:w="5976"/>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Serve refreshments safely; monitor allergen information; keep hospitality in the shared family space.</w:t>
            </w:r>
          </w:p>
        </w:tc>
        <w:tc>
          <w:tcPr>
            <w:tcW w:type="dxa" w:w="2131"/>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[Confirm]</w:t>
            </w:r>
          </w:p>
        </w:tc>
      </w:tr>
    </w:tbl>
    <w:p>
      <w:pPr>
        <w:pStyle w:val="Heading1"/>
        <w:pageBreakBefore/>
      </w:pPr>
      <w:r>
        <w:t>Assessing the risks</w:t>
      </w:r>
    </w:p>
    <w:p>
      <w:r>
        <w:rPr>
          <w:b w:val="0"/>
        </w:rPr>
        <w:t>Rate likelihood and severity after considering the controls for your own gathering. Multiply likelihood by severity to calculate the residual risk score. Complete every row and review any controls that are not yet in place.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320"/>
        <w:gridCol w:w="5659"/>
      </w:tblGrid>
      <w:tr>
        <w:trPr>
          <w:cantSplit/>
          <w:tblHeader/>
        </w:trPr>
        <w:tc>
          <w:tcPr>
            <w:tcW w:type="dxa" w:w="4320"/>
            <w:vAlign w:val="center"/>
            <w:tcMar>
              <w:top w:w="85" w:type="dxa"/>
              <w:bottom w:w="85" w:type="dxa"/>
              <w:left w:w="100" w:type="dxa"/>
              <w:right w:w="100" w:type="dxa"/>
            </w:tcMar>
            <w:shd w:fill="6834B7"/>
          </w:tcPr>
          <w:p>
            <w:pPr>
              <w:spacing w:after="0" w:line="250" w:lineRule="auto"/>
            </w:pPr>
            <w:r>
              <w:rPr>
                <w:rFonts w:ascii="Nunito Sans" w:hAnsi="Nunito Sans"/>
                <w:b/>
                <w:color w:val="FFFFFF"/>
                <w:sz w:val="19"/>
              </w:rPr>
              <w:t>Likelihood</w:t>
            </w:r>
          </w:p>
        </w:tc>
        <w:tc>
          <w:tcPr>
            <w:tcW w:type="dxa" w:w="5659"/>
            <w:vAlign w:val="center"/>
            <w:tcMar>
              <w:top w:w="85" w:type="dxa"/>
              <w:bottom w:w="85" w:type="dxa"/>
              <w:left w:w="100" w:type="dxa"/>
              <w:right w:w="100" w:type="dxa"/>
            </w:tcMar>
            <w:shd w:fill="6834B7"/>
          </w:tcPr>
          <w:p>
            <w:pPr>
              <w:spacing w:after="0" w:line="250" w:lineRule="auto"/>
            </w:pPr>
            <w:r>
              <w:rPr>
                <w:rFonts w:ascii="Nunito Sans" w:hAnsi="Nunito Sans"/>
                <w:b/>
                <w:color w:val="FFFFFF"/>
                <w:sz w:val="19"/>
              </w:rPr>
              <w:t>Severity</w:t>
            </w:r>
          </w:p>
        </w:tc>
      </w:tr>
      <w:tr>
        <w:trPr>
          <w:cantSplit/>
        </w:trPr>
        <w:tc>
          <w:tcPr>
            <w:tcW w:type="dxa" w:w="4320"/>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1  Rare</w:t>
            </w:r>
          </w:p>
        </w:tc>
        <w:tc>
          <w:tcPr>
            <w:tcW w:type="dxa" w:w="5659"/>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1  Minor</w:t>
            </w:r>
          </w:p>
        </w:tc>
      </w:tr>
      <w:tr>
        <w:trPr>
          <w:cantSplit/>
        </w:trPr>
        <w:tc>
          <w:tcPr>
            <w:tcW w:type="dxa" w:w="4320"/>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2  Unlikely</w:t>
            </w:r>
          </w:p>
        </w:tc>
        <w:tc>
          <w:tcPr>
            <w:tcW w:type="dxa" w:w="5659"/>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2  Medical attention</w:t>
            </w:r>
          </w:p>
        </w:tc>
      </w:tr>
      <w:tr>
        <w:trPr>
          <w:cantSplit/>
        </w:trPr>
        <w:tc>
          <w:tcPr>
            <w:tcW w:type="dxa" w:w="4320"/>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3  Possible</w:t>
            </w:r>
          </w:p>
        </w:tc>
        <w:tc>
          <w:tcPr>
            <w:tcW w:type="dxa" w:w="5659"/>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3  Serious injury</w:t>
            </w:r>
          </w:p>
        </w:tc>
      </w:tr>
      <w:tr>
        <w:trPr>
          <w:cantSplit/>
        </w:trPr>
        <w:tc>
          <w:tcPr>
            <w:tcW w:type="dxa" w:w="4320"/>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4  Likely</w:t>
            </w:r>
          </w:p>
        </w:tc>
        <w:tc>
          <w:tcPr>
            <w:tcW w:type="dxa" w:w="5659"/>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4  Life changing injury</w:t>
            </w:r>
          </w:p>
        </w:tc>
      </w:tr>
      <w:tr>
        <w:trPr>
          <w:cantSplit/>
        </w:trPr>
        <w:tc>
          <w:tcPr>
            <w:tcW w:type="dxa" w:w="4320"/>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5  Very likely</w:t>
            </w:r>
          </w:p>
        </w:tc>
        <w:tc>
          <w:tcPr>
            <w:tcW w:type="dxa" w:w="5659"/>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5  Fatality</w:t>
            </w:r>
          </w:p>
        </w:tc>
      </w:tr>
    </w:tbl>
    <w:p>
      <w:r>
        <w:rPr>
          <w:b/>
        </w:rPr>
        <w:t>Risk score = likelihood x severity. Low 1-4. Medium 5-9. High 10-25. High risks require further controls before the event proceeds.</w:t>
      </w:r>
    </w:p>
    <w:p>
      <w:pPr>
        <w:pStyle w:val="Heading1"/>
      </w:pPr>
      <w:r>
        <w:t>Rating worksheet</w:t>
      </w:r>
    </w:p>
    <w:p>
      <w:r>
        <w:rPr>
          <w:b w:val="0"/>
        </w:rPr>
        <w:t>L = likelihood. S = severity. Band = low, medium or high. The suggested owners below must be assigned to named people in your team.</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18"/>
        <w:gridCol w:w="3528"/>
        <w:gridCol w:w="547"/>
        <w:gridCol w:w="547"/>
        <w:gridCol w:w="864"/>
        <w:gridCol w:w="1094"/>
        <w:gridCol w:w="2880"/>
      </w:tblGrid>
      <w:tr>
        <w:trPr>
          <w:cantSplit/>
          <w:tblHeader/>
          <w:trHeight w:val="460" w:hRule="atLeast"/>
        </w:trPr>
        <w:tc>
          <w:tcPr>
            <w:tcW w:type="dxa" w:w="518"/>
            <w:vAlign w:val="center"/>
            <w:tcMar>
              <w:top w:w="50" w:type="dxa"/>
              <w:bottom w:w="50" w:type="dxa"/>
              <w:left w:w="75" w:type="dxa"/>
              <w:right w:w="75" w:type="dxa"/>
            </w:tcMar>
            <w:shd w:fill="6834B7"/>
          </w:tcPr>
          <w:p>
            <w:pPr>
              <w:spacing w:after="0" w:line="250" w:lineRule="auto"/>
              <w:jc w:val="center"/>
            </w:pPr>
            <w:r>
              <w:rPr>
                <w:rFonts w:ascii="Nunito Sans" w:hAnsi="Nunito Sans"/>
                <w:b/>
                <w:color w:val="FFFFFF"/>
                <w:sz w:val="18"/>
              </w:rPr>
              <w:t>No</w:t>
            </w:r>
          </w:p>
        </w:tc>
        <w:tc>
          <w:tcPr>
            <w:tcW w:type="dxa" w:w="3528"/>
            <w:vAlign w:val="center"/>
            <w:tcMar>
              <w:top w:w="50" w:type="dxa"/>
              <w:bottom w:w="50" w:type="dxa"/>
              <w:left w:w="75" w:type="dxa"/>
              <w:right w:w="75" w:type="dxa"/>
            </w:tcMar>
            <w:shd w:fill="6834B7"/>
          </w:tcPr>
          <w:p>
            <w:pPr>
              <w:spacing w:after="0" w:line="250" w:lineRule="auto"/>
            </w:pPr>
            <w:r>
              <w:rPr>
                <w:rFonts w:ascii="Nunito Sans" w:hAnsi="Nunito Sans"/>
                <w:b/>
                <w:color w:val="FFFFFF"/>
                <w:sz w:val="18"/>
              </w:rPr>
              <w:t>Hazard</w:t>
            </w:r>
          </w:p>
        </w:tc>
        <w:tc>
          <w:tcPr>
            <w:tcW w:type="dxa" w:w="547"/>
            <w:vAlign w:val="center"/>
            <w:tcMar>
              <w:top w:w="50" w:type="dxa"/>
              <w:bottom w:w="50" w:type="dxa"/>
              <w:left w:w="75" w:type="dxa"/>
              <w:right w:w="75" w:type="dxa"/>
            </w:tcMar>
            <w:shd w:fill="6834B7"/>
          </w:tcPr>
          <w:p>
            <w:pPr>
              <w:spacing w:after="0" w:line="250" w:lineRule="auto"/>
              <w:jc w:val="center"/>
            </w:pPr>
            <w:r>
              <w:rPr>
                <w:rFonts w:ascii="Nunito Sans" w:hAnsi="Nunito Sans"/>
                <w:b/>
                <w:color w:val="FFFFFF"/>
                <w:sz w:val="18"/>
              </w:rPr>
              <w:t>L</w:t>
            </w:r>
          </w:p>
        </w:tc>
        <w:tc>
          <w:tcPr>
            <w:tcW w:type="dxa" w:w="547"/>
            <w:vAlign w:val="center"/>
            <w:tcMar>
              <w:top w:w="50" w:type="dxa"/>
              <w:bottom w:w="50" w:type="dxa"/>
              <w:left w:w="75" w:type="dxa"/>
              <w:right w:w="75" w:type="dxa"/>
            </w:tcMar>
            <w:shd w:fill="6834B7"/>
          </w:tcPr>
          <w:p>
            <w:pPr>
              <w:spacing w:after="0" w:line="250" w:lineRule="auto"/>
              <w:jc w:val="center"/>
            </w:pPr>
            <w:r>
              <w:rPr>
                <w:rFonts w:ascii="Nunito Sans" w:hAnsi="Nunito Sans"/>
                <w:b/>
                <w:color w:val="FFFFFF"/>
                <w:sz w:val="18"/>
              </w:rPr>
              <w:t>S</w:t>
            </w:r>
          </w:p>
        </w:tc>
        <w:tc>
          <w:tcPr>
            <w:tcW w:type="dxa" w:w="864"/>
            <w:vAlign w:val="center"/>
            <w:tcMar>
              <w:top w:w="50" w:type="dxa"/>
              <w:bottom w:w="50" w:type="dxa"/>
              <w:left w:w="75" w:type="dxa"/>
              <w:right w:w="75" w:type="dxa"/>
            </w:tcMar>
            <w:shd w:fill="6834B7"/>
          </w:tcPr>
          <w:p>
            <w:pPr>
              <w:spacing w:after="0" w:line="250" w:lineRule="auto"/>
              <w:jc w:val="center"/>
            </w:pPr>
            <w:r>
              <w:rPr>
                <w:rFonts w:ascii="Nunito Sans" w:hAnsi="Nunito Sans"/>
                <w:b/>
                <w:color w:val="FFFFFF"/>
                <w:sz w:val="18"/>
              </w:rPr>
              <w:t>Score</w:t>
            </w:r>
          </w:p>
        </w:tc>
        <w:tc>
          <w:tcPr>
            <w:tcW w:type="dxa" w:w="1094"/>
            <w:vAlign w:val="center"/>
            <w:tcMar>
              <w:top w:w="50" w:type="dxa"/>
              <w:bottom w:w="50" w:type="dxa"/>
              <w:left w:w="75" w:type="dxa"/>
              <w:right w:w="75" w:type="dxa"/>
            </w:tcMar>
            <w:shd w:fill="6834B7"/>
          </w:tcPr>
          <w:p>
            <w:pPr>
              <w:spacing w:after="0" w:line="250" w:lineRule="auto"/>
              <w:jc w:val="center"/>
            </w:pPr>
            <w:r>
              <w:rPr>
                <w:rFonts w:ascii="Nunito Sans" w:hAnsi="Nunito Sans"/>
                <w:b/>
                <w:color w:val="FFFFFF"/>
                <w:sz w:val="18"/>
              </w:rPr>
              <w:t>Band</w:t>
            </w:r>
          </w:p>
        </w:tc>
        <w:tc>
          <w:tcPr>
            <w:tcW w:type="dxa" w:w="2880"/>
            <w:vAlign w:val="center"/>
            <w:tcMar>
              <w:top w:w="50" w:type="dxa"/>
              <w:bottom w:w="50" w:type="dxa"/>
              <w:left w:w="75" w:type="dxa"/>
              <w:right w:w="75" w:type="dxa"/>
            </w:tcMar>
            <w:shd w:fill="6834B7"/>
          </w:tcPr>
          <w:p>
            <w:pPr>
              <w:spacing w:after="0" w:line="250" w:lineRule="auto"/>
            </w:pPr>
            <w:r>
              <w:rPr>
                <w:rFonts w:ascii="Nunito Sans" w:hAnsi="Nunito Sans"/>
                <w:b/>
                <w:color w:val="FFFFFF"/>
                <w:sz w:val="18"/>
              </w:rPr>
              <w:t>Suggested owner</w:t>
            </w:r>
          </w:p>
        </w:tc>
      </w:tr>
      <w:tr>
        <w:trPr>
          <w:cantSplit/>
          <w:trHeight w:val="460" w:hRule="atLeast"/>
        </w:trPr>
        <w:tc>
          <w:tcPr>
            <w:tcW w:type="dxa" w:w="518"/>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t>1</w:t>
            </w:r>
          </w:p>
        </w:tc>
        <w:tc>
          <w:tcPr>
            <w:tcW w:type="dxa" w:w="3528"/>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Room, walkways and furniture</w:t>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86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109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2880"/>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Welcome Builders</w:t>
            </w:r>
          </w:p>
        </w:tc>
      </w:tr>
      <w:tr>
        <w:trPr>
          <w:cantSplit/>
          <w:trHeight w:val="460" w:hRule="atLeast"/>
        </w:trPr>
        <w:tc>
          <w:tcPr>
            <w:tcW w:type="dxa" w:w="518"/>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t>2</w:t>
            </w:r>
          </w:p>
        </w:tc>
        <w:tc>
          <w:tcPr>
            <w:tcW w:type="dxa" w:w="3528"/>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Small LEGO pieces / age suitability</w:t>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86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109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2880"/>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Lead Builders</w:t>
            </w:r>
          </w:p>
        </w:tc>
      </w:tr>
      <w:tr>
        <w:trPr>
          <w:cantSplit/>
          <w:trHeight w:val="460" w:hRule="atLeast"/>
        </w:trPr>
        <w:tc>
          <w:tcPr>
            <w:tcW w:type="dxa" w:w="518"/>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t>3</w:t>
            </w:r>
          </w:p>
        </w:tc>
        <w:tc>
          <w:tcPr>
            <w:tcW w:type="dxa" w:w="3528"/>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Families becoming separated</w:t>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86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109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2880"/>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Safeguarding Lead</w:t>
            </w:r>
          </w:p>
        </w:tc>
      </w:tr>
      <w:tr>
        <w:trPr>
          <w:cantSplit/>
          <w:trHeight w:val="460" w:hRule="atLeast"/>
        </w:trPr>
        <w:tc>
          <w:tcPr>
            <w:tcW w:type="dxa" w:w="518"/>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t>4</w:t>
            </w:r>
          </w:p>
        </w:tc>
        <w:tc>
          <w:tcPr>
            <w:tcW w:type="dxa" w:w="3528"/>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Safeguarding and adult conduct</w:t>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86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109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2880"/>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Safeguarding Lead</w:t>
            </w:r>
          </w:p>
        </w:tc>
      </w:tr>
      <w:tr>
        <w:trPr>
          <w:cantSplit/>
          <w:trHeight w:val="460" w:hRule="atLeast"/>
        </w:trPr>
        <w:tc>
          <w:tcPr>
            <w:tcW w:type="dxa" w:w="518"/>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t>5</w:t>
            </w:r>
          </w:p>
        </w:tc>
        <w:tc>
          <w:tcPr>
            <w:tcW w:type="dxa" w:w="3528"/>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Fire, smoke or evacuation</w:t>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86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109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2880"/>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Lead organiser</w:t>
            </w:r>
          </w:p>
        </w:tc>
      </w:tr>
      <w:tr>
        <w:trPr>
          <w:cantSplit/>
          <w:trHeight w:val="460" w:hRule="atLeast"/>
        </w:trPr>
        <w:tc>
          <w:tcPr>
            <w:tcW w:type="dxa" w:w="518"/>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t>6</w:t>
            </w:r>
          </w:p>
        </w:tc>
        <w:tc>
          <w:tcPr>
            <w:tcW w:type="dxa" w:w="3528"/>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Medical event, injury or illness</w:t>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86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109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2880"/>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First aider</w:t>
            </w:r>
          </w:p>
        </w:tc>
      </w:tr>
      <w:tr>
        <w:trPr>
          <w:cantSplit/>
          <w:trHeight w:val="460" w:hRule="atLeast"/>
        </w:trPr>
        <w:tc>
          <w:tcPr>
            <w:tcW w:type="dxa" w:w="518"/>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t>7</w:t>
            </w:r>
          </w:p>
        </w:tc>
        <w:tc>
          <w:tcPr>
            <w:tcW w:type="dxa" w:w="3528"/>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Food and drink / allergens</w:t>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86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109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2880"/>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Fuel Builders</w:t>
            </w:r>
          </w:p>
        </w:tc>
      </w:tr>
      <w:tr>
        <w:trPr>
          <w:cantSplit/>
          <w:trHeight w:val="460" w:hRule="atLeast"/>
        </w:trPr>
        <w:tc>
          <w:tcPr>
            <w:tcW w:type="dxa" w:w="518"/>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t>8</w:t>
            </w:r>
          </w:p>
        </w:tc>
        <w:tc>
          <w:tcPr>
            <w:tcW w:type="dxa" w:w="3528"/>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Behaviour, distress or conflict</w:t>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86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109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2880"/>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Lead Builders</w:t>
            </w:r>
          </w:p>
        </w:tc>
      </w:tr>
      <w:tr>
        <w:trPr>
          <w:cantSplit/>
          <w:trHeight w:val="460" w:hRule="atLeast"/>
        </w:trPr>
        <w:tc>
          <w:tcPr>
            <w:tcW w:type="dxa" w:w="518"/>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t>9</w:t>
            </w:r>
          </w:p>
        </w:tc>
        <w:tc>
          <w:tcPr>
            <w:tcW w:type="dxa" w:w="3528"/>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Set-up, storage and manual handling</w:t>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86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109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2880"/>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Lead organiser</w:t>
            </w:r>
          </w:p>
        </w:tc>
      </w:tr>
      <w:tr>
        <w:trPr>
          <w:cantSplit/>
          <w:trHeight w:val="460" w:hRule="atLeast"/>
        </w:trPr>
        <w:tc>
          <w:tcPr>
            <w:tcW w:type="dxa" w:w="518"/>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t>10</w:t>
            </w:r>
          </w:p>
        </w:tc>
        <w:tc>
          <w:tcPr>
            <w:tcW w:type="dxa" w:w="3528"/>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Electrical equipment and lighting</w:t>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86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109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2880"/>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Lead organiser</w:t>
            </w:r>
          </w:p>
        </w:tc>
      </w:tr>
      <w:tr>
        <w:trPr>
          <w:cantSplit/>
          <w:trHeight w:val="460" w:hRule="atLeast"/>
        </w:trPr>
        <w:tc>
          <w:tcPr>
            <w:tcW w:type="dxa" w:w="518"/>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t>11</w:t>
            </w:r>
          </w:p>
        </w:tc>
        <w:tc>
          <w:tcPr>
            <w:tcW w:type="dxa" w:w="3528"/>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Photography, video and data</w:t>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86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109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2880"/>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Lead organiser</w:t>
            </w:r>
          </w:p>
        </w:tc>
      </w:tr>
      <w:tr>
        <w:trPr>
          <w:cantSplit/>
          <w:trHeight w:val="460" w:hRule="atLeast"/>
        </w:trPr>
        <w:tc>
          <w:tcPr>
            <w:tcW w:type="dxa" w:w="518"/>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t>12</w:t>
            </w:r>
          </w:p>
        </w:tc>
        <w:tc>
          <w:tcPr>
            <w:tcW w:type="dxa" w:w="3528"/>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Capacity, arrival and departure</w:t>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547"/>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86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1094"/>
            <w:vAlign w:val="center"/>
            <w:tcMar>
              <w:top w:w="50" w:type="dxa"/>
              <w:bottom w:w="50" w:type="dxa"/>
              <w:left w:w="75" w:type="dxa"/>
              <w:right w:w="75" w:type="dxa"/>
            </w:tcMar>
            <w:shd w:fill="FFFFFF"/>
          </w:tcPr>
          <w:p>
            <w:pPr>
              <w:spacing w:after="0" w:line="250" w:lineRule="auto"/>
              <w:jc w:val="center"/>
            </w:pPr>
            <w:r>
              <w:rPr>
                <w:rFonts w:ascii="Nunito Sans" w:hAnsi="Nunito Sans"/>
                <w:b w:val="0"/>
                <w:color w:val="000000"/>
                <w:sz w:val="18"/>
              </w:rPr>
            </w:r>
          </w:p>
        </w:tc>
        <w:tc>
          <w:tcPr>
            <w:tcW w:type="dxa" w:w="2880"/>
            <w:vAlign w:val="center"/>
            <w:tcMar>
              <w:top w:w="50" w:type="dxa"/>
              <w:bottom w:w="50" w:type="dxa"/>
              <w:left w:w="75" w:type="dxa"/>
              <w:right w:w="75" w:type="dxa"/>
            </w:tcMar>
            <w:shd w:fill="FFFFFF"/>
          </w:tcPr>
          <w:p>
            <w:pPr>
              <w:spacing w:after="0" w:line="250" w:lineRule="auto"/>
            </w:pPr>
            <w:r>
              <w:rPr>
                <w:rFonts w:ascii="Nunito Sans" w:hAnsi="Nunito Sans"/>
                <w:b w:val="0"/>
                <w:color w:val="000000"/>
                <w:sz w:val="18"/>
              </w:rPr>
              <w:t>Welcome Builders</w:t>
            </w:r>
          </w:p>
        </w:tc>
      </w:tr>
    </w:tbl>
    <w:p>
      <w:pPr>
        <w:pStyle w:val="Heading1"/>
        <w:pageBreakBefore/>
      </w:pPr>
      <w:r>
        <w:t>Risk controls 1 to 4</w:t>
      </w:r>
    </w:p>
    <w:p>
      <w:pPr>
        <w:pStyle w:val="Heading2"/>
      </w:pPr>
      <w:r>
        <w:t>1  Room walkways and furniture</w:t>
      </w:r>
    </w:p>
    <w:p>
      <w:r>
        <w:rPr>
          <w:b w:val="0"/>
        </w:rPr>
        <w:t>Children, adults and volunteers may slip, trip or fall; access may be blocked.</w:t>
      </w:r>
    </w:p>
    <w:p>
      <w:r>
        <w:rPr>
          <w:b w:val="0"/>
        </w:rPr>
        <w:t>Complete a pre-opening room check. Keep exits, gangways and fire equipment clear. Secure or remove trailing leads; tape only where suitable. Keep bags, LEGO tubs and chairs out of routes. Clean spills promptly. Use a layout that leaves clear family tables and an unobstructed route to exits.</w:t>
      </w:r>
    </w:p>
    <w:p>
      <w:r>
        <w:rPr>
          <w:b/>
          <w:sz w:val="19"/>
        </w:rPr>
        <w:t>Suggested owner: Welcome Builders</w:t>
      </w:r>
    </w:p>
    <w:p>
      <w:pPr>
        <w:pStyle w:val="Heading2"/>
      </w:pPr>
      <w:r>
        <w:t>2  Small LEGO pieces and age suitability</w:t>
      </w:r>
    </w:p>
    <w:p>
      <w:r>
        <w:rPr>
          <w:b w:val="0"/>
        </w:rPr>
        <w:t>Young children may put small pieces in their mouths; choking risk. Sharp/broken pieces could cause minor injury.</w:t>
      </w:r>
    </w:p>
    <w:p>
      <w:r>
        <w:rPr>
          <w:b w:val="0"/>
        </w:rPr>
        <w:t>State that small parts are present. Children who mouth objects must be closely supervised by their parent/carer; provide age-appropriate larger bricks where required. Remove broken/sharp pieces. Do not place loose small pieces within reach of babies/toddlers. Keep a clear, calm response route for a choking emergency.</w:t>
      </w:r>
    </w:p>
    <w:p>
      <w:r>
        <w:rPr>
          <w:b/>
          <w:sz w:val="19"/>
        </w:rPr>
        <w:t>Suggested owner: Lead Builders</w:t>
      </w:r>
    </w:p>
    <w:p>
      <w:pPr>
        <w:pStyle w:val="Heading2"/>
      </w:pPr>
      <w:r>
        <w:t>3  Families becoming separated</w:t>
      </w:r>
    </w:p>
    <w:p>
      <w:r>
        <w:rPr>
          <w:b w:val="0"/>
        </w:rPr>
        <w:t>A child may become distressed, leave the room, or be collected by the wrong person.</w:t>
      </w:r>
    </w:p>
    <w:p>
      <w:r>
        <w:rPr>
          <w:b w:val="0"/>
        </w:rPr>
        <w:t>Children stay with their parent/carer during building, questions and reflection. Do not run a separate child space without its own agreed plan. Welcome Builders monitor entrance/exit points. For a missing child: alert Safeguarding Lead immediately, check immediate area, do not leave other children unsupervised, contact emergency services if appropriate, and record the incident.</w:t>
      </w:r>
    </w:p>
    <w:p>
      <w:r>
        <w:rPr>
          <w:b/>
          <w:sz w:val="19"/>
        </w:rPr>
        <w:t>Suggested owner: Safeguarding Lead</w:t>
      </w:r>
    </w:p>
    <w:p>
      <w:pPr>
        <w:pStyle w:val="Heading2"/>
      </w:pPr>
      <w:r>
        <w:t>4  Safeguarding and adult conduct</w:t>
      </w:r>
    </w:p>
    <w:p>
      <w:r>
        <w:rPr>
          <w:b w:val="0"/>
        </w:rPr>
        <w:t>Child or adult may be harmed, or a concern/allegation may arise.</w:t>
      </w:r>
    </w:p>
    <w:p>
      <w:r>
        <w:rPr>
          <w:b w:val="0"/>
        </w:rPr>
        <w:t>Use the church/diocesan safeguarding policy and safer recruitment arrangements. Ensure the Safeguarding Lead is present and known. Avoid one-to-one isolated contact; use open, observable spaces. Never take a child to a private area alone. Record and report concerns promptly through the church's safeguarding route; call 999 where there is immediate danger.</w:t>
      </w:r>
    </w:p>
    <w:p>
      <w:r>
        <w:rPr>
          <w:b/>
          <w:sz w:val="19"/>
        </w:rPr>
        <w:t>Suggested owner: Safeguarding Lead</w:t>
      </w:r>
    </w:p>
    <w:p>
      <w:pPr>
        <w:pStyle w:val="Heading1"/>
        <w:pageBreakBefore/>
      </w:pPr>
      <w:r>
        <w:t>Risk controls 5 to 8</w:t>
      </w:r>
    </w:p>
    <w:p>
      <w:pPr>
        <w:pStyle w:val="Heading2"/>
      </w:pPr>
      <w:r>
        <w:t>5  Fire smoke or evacuation</w:t>
      </w:r>
    </w:p>
    <w:p>
      <w:r>
        <w:rPr>
          <w:b w:val="0"/>
        </w:rPr>
        <w:t>Injury, panic, separation or delayed evacuation.</w:t>
      </w:r>
    </w:p>
    <w:p>
      <w:r>
        <w:rPr>
          <w:b w:val="0"/>
        </w:rPr>
        <w:t>Before opening, confirm the venue fire risk assessment, alarm method, exits, assembly point, extinguisher locations and any personal evacuation needs. Keep exits unlocked and clear. Lead Builders stop the session; all families leave together by the stated route. Welcome Builders sweep only if safe and assist with flow. Take a headcount/registration list only if this does not delay evacuation. Do not re-enter until authorised.</w:t>
      </w:r>
    </w:p>
    <w:p>
      <w:r>
        <w:rPr>
          <w:b/>
          <w:sz w:val="19"/>
        </w:rPr>
        <w:t>Suggested owner: Lead organiser</w:t>
      </w:r>
    </w:p>
    <w:p>
      <w:pPr>
        <w:pStyle w:val="Heading2"/>
      </w:pPr>
      <w:r>
        <w:t>6  Medical event injury or illness</w:t>
      </w:r>
    </w:p>
    <w:p>
      <w:r>
        <w:rPr>
          <w:b w:val="0"/>
        </w:rPr>
        <w:t>Cuts, fainting, asthma, allergic reaction or other medical emergency.</w:t>
      </w:r>
    </w:p>
    <w:p>
      <w:r>
        <w:rPr>
          <w:b w:val="0"/>
        </w:rPr>
        <w:t>Confirm named first aider, kit and AED location before opening. Record relevant emergency contact and medical information only where necessary and store it securely. Parent/carer administers their child's medication unless a separate written plan applies. Call 999 for a serious emergency. Record every injury/incident and share follow-up with the lead organiser.</w:t>
      </w:r>
    </w:p>
    <w:p>
      <w:r>
        <w:rPr>
          <w:b/>
          <w:sz w:val="19"/>
        </w:rPr>
        <w:t>Suggested owner: First aider</w:t>
      </w:r>
    </w:p>
    <w:p>
      <w:pPr>
        <w:pStyle w:val="Heading2"/>
      </w:pPr>
      <w:r>
        <w:t>7  Food and drink and allergens</w:t>
      </w:r>
    </w:p>
    <w:p>
      <w:r>
        <w:rPr>
          <w:b w:val="0"/>
        </w:rPr>
        <w:t>Burns, choking, allergic reaction, cross-contamination or spills.</w:t>
      </w:r>
    </w:p>
    <w:p>
      <w:r>
        <w:rPr>
          <w:b w:val="0"/>
        </w:rPr>
        <w:t>Serve simple, clearly labelled refreshments. Obtain and display allergen information; do not promise an item is allergen-free unless verified. Keep hot drinks away from children and use lids where available. Ask families to supervise children while eating. Fuel Builders keep serving space tidy, clean spills immediately and follow venue food hygiene arrangements.</w:t>
      </w:r>
    </w:p>
    <w:p>
      <w:r>
        <w:rPr>
          <w:b/>
          <w:sz w:val="19"/>
        </w:rPr>
        <w:t>Suggested owner: Fuel Builders</w:t>
      </w:r>
    </w:p>
    <w:p>
      <w:pPr>
        <w:pStyle w:val="Heading2"/>
      </w:pPr>
      <w:r>
        <w:t>8  Behaviour distress or conflict</w:t>
      </w:r>
    </w:p>
    <w:p>
      <w:r>
        <w:rPr>
          <w:b w:val="0"/>
        </w:rPr>
        <w:t>Upset, injury, damage or disruption to other families.</w:t>
      </w:r>
    </w:p>
    <w:p>
      <w:r>
        <w:rPr>
          <w:b w:val="0"/>
        </w:rPr>
        <w:t>Set a short, welcoming behaviour expectation: kind hands, respect every creation, build together and ask for help. Staff de-escalate calmly and involve the parent/carer early. Offer a visible, non-isolated quiet area only with the parent/carer present. If behaviour creates immediate risk, pause the activity and follow the safeguarding/incident procedure.</w:t>
      </w:r>
    </w:p>
    <w:p>
      <w:r>
        <w:rPr>
          <w:b/>
          <w:sz w:val="19"/>
        </w:rPr>
        <w:t>Suggested owner: Lead Builders</w:t>
      </w:r>
    </w:p>
    <w:p>
      <w:pPr>
        <w:pStyle w:val="Heading1"/>
        <w:pageBreakBefore/>
      </w:pPr>
      <w:r>
        <w:t>Risk controls 9 to 12</w:t>
      </w:r>
    </w:p>
    <w:p>
      <w:pPr>
        <w:pStyle w:val="Heading2"/>
      </w:pPr>
      <w:r>
        <w:t>9  Set up storage and manual handling</w:t>
      </w:r>
    </w:p>
    <w:p>
      <w:r>
        <w:rPr>
          <w:b w:val="0"/>
        </w:rPr>
        <w:t>Strains, crushed fingers or falling tubs/equipment.</w:t>
      </w:r>
    </w:p>
    <w:p>
      <w:r>
        <w:rPr>
          <w:b w:val="0"/>
        </w:rPr>
        <w:t>Use wheeled/appropriate containers where possible; team-lift heavy tubs; do not overfill boxes. Keep storage stable and low. Keep children out of set-up/close-down areas. Check tables and chairs are stable before use. Remove damaged equipment from use.</w:t>
      </w:r>
    </w:p>
    <w:p>
      <w:r>
        <w:rPr>
          <w:b/>
          <w:sz w:val="19"/>
        </w:rPr>
        <w:t>Suggested owner: Lead organiser</w:t>
      </w:r>
    </w:p>
    <w:p>
      <w:pPr>
        <w:pStyle w:val="Heading2"/>
      </w:pPr>
      <w:r>
        <w:t>10  Electrical equipment and lighting</w:t>
      </w:r>
    </w:p>
    <w:p>
      <w:r>
        <w:rPr>
          <w:b w:val="0"/>
        </w:rPr>
        <w:t>Electric shock, burns, trip hazard or fire.</w:t>
      </w:r>
    </w:p>
    <w:p>
      <w:r>
        <w:rPr>
          <w:b w:val="0"/>
        </w:rPr>
        <w:t>Visual-check all cables, plugs and extension leads before use. Use only suitable, undamaged equipment; do not overload sockets. Route cables away from children and walkways. Switch off/unplug equipment at close-down. Report defects to venue management.</w:t>
      </w:r>
    </w:p>
    <w:p>
      <w:r>
        <w:rPr>
          <w:b/>
          <w:sz w:val="19"/>
        </w:rPr>
        <w:t>Suggested owner: Lead organiser</w:t>
      </w:r>
    </w:p>
    <w:p>
      <w:pPr>
        <w:pStyle w:val="Heading2"/>
      </w:pPr>
      <w:r>
        <w:t>11  Photography video and data</w:t>
      </w:r>
    </w:p>
    <w:p>
      <w:r>
        <w:rPr>
          <w:b w:val="0"/>
        </w:rPr>
        <w:t>A child's image or personal information may be used without permission.</w:t>
      </w:r>
    </w:p>
    <w:p>
      <w:r>
        <w:rPr>
          <w:b w:val="0"/>
        </w:rPr>
        <w:t>Use the church's current photo/recording consent process. Make photo/no-photo status clear to the team before the session. Do not name children in public posts without appropriate consent. Keep registration and incident records secure; restrict access to those who need it; follow the church's retention and privacy procedures.</w:t>
      </w:r>
    </w:p>
    <w:p>
      <w:r>
        <w:rPr>
          <w:b/>
          <w:sz w:val="19"/>
        </w:rPr>
        <w:t>Suggested owner: Lead organiser</w:t>
      </w:r>
    </w:p>
    <w:p>
      <w:pPr>
        <w:pStyle w:val="Heading2"/>
      </w:pPr>
      <w:r>
        <w:t>12  Capacity arrival and departure</w:t>
      </w:r>
    </w:p>
    <w:p>
      <w:r>
        <w:rPr>
          <w:b w:val="0"/>
        </w:rPr>
        <w:t>Crowding, poor supervision, blocked routes or unsafe car-park/road movement.</w:t>
      </w:r>
    </w:p>
    <w:p>
      <w:r>
        <w:rPr>
          <w:b w:val="0"/>
        </w:rPr>
        <w:t>Set and enforce a venue-approved maximum capacity. Pause entry when capacity is reached. Keep the entrance and exit clear. Brief families that children must stay with their responsible adult from arrival until departure. Confirm safe arrival/departure route and any car-park controls with venue management.</w:t>
      </w:r>
    </w:p>
    <w:p>
      <w:r>
        <w:rPr>
          <w:b/>
          <w:sz w:val="19"/>
        </w:rPr>
        <w:t>Suggested owner: Welcome Builders</w:t>
      </w:r>
    </w:p>
    <w:p>
      <w:pPr>
        <w:pStyle w:val="Heading1"/>
        <w:pageBreakBefore/>
      </w:pPr>
      <w:r>
        <w:t>Before the gathering</w:t>
      </w:r>
    </w:p>
    <w:p>
      <w:pPr>
        <w:pStyle w:val="Heading2"/>
      </w:pPr>
      <w:r>
        <w:t>Team briefing</w:t>
      </w:r>
    </w:p>
    <w:p>
      <w:r>
        <w:rPr>
          <w:b w:val="0"/>
        </w:rPr>
        <w:t>emergency exits and assembly point; who calls 999; first-aid/AED locations; capacity; safeguarding lead and reporting route; no lone working with a child; food allergens; photo consent; incident logging; and the parent/carer-with-child model.</w:t>
      </w:r>
    </w:p>
    <w:p>
      <w:pPr>
        <w:pStyle w:val="Heading2"/>
      </w:pPr>
      <w:r>
        <w:t>Safety checklist</w:t>
      </w:r>
    </w:p>
    <w:p>
      <w:pPr>
        <w:ind w:left="283" w:hanging="283"/>
      </w:pPr>
      <w:r>
        <w:rPr>
          <w:rFonts w:ascii="DejaVu Sans" w:hAnsi="DejaVu Sans"/>
        </w:rPr>
        <w:t xml:space="preserve">☐  </w:t>
      </w:r>
      <w:r>
        <w:t>Venue room, exits, alarm procedure, assembly point and capacity checked with venue representative.</w:t>
      </w:r>
    </w:p>
    <w:p>
      <w:pPr>
        <w:ind w:left="283" w:hanging="283"/>
      </w:pPr>
      <w:r>
        <w:rPr>
          <w:rFonts w:ascii="DejaVu Sans" w:hAnsi="DejaVu Sans"/>
        </w:rPr>
        <w:t xml:space="preserve">☐  </w:t>
      </w:r>
      <w:r>
        <w:t>Named lead organiser, Safeguarding Lead and first-aid arrangement confirmed; emergency contact numbers available.</w:t>
      </w:r>
    </w:p>
    <w:p>
      <w:pPr>
        <w:ind w:left="283" w:hanging="283"/>
      </w:pPr>
      <w:r>
        <w:rPr>
          <w:rFonts w:ascii="DejaVu Sans" w:hAnsi="DejaVu Sans"/>
        </w:rPr>
        <w:t xml:space="preserve">☐  </w:t>
      </w:r>
      <w:r>
        <w:t>All team members briefed and clearly identifiable; roles assigned for opening, room monitoring, evacuation and close-down.</w:t>
      </w:r>
    </w:p>
    <w:p>
      <w:pPr>
        <w:ind w:left="283" w:hanging="283"/>
      </w:pPr>
      <w:r>
        <w:rPr>
          <w:rFonts w:ascii="DejaVu Sans" w:hAnsi="DejaVu Sans"/>
        </w:rPr>
        <w:t xml:space="preserve">☐  </w:t>
      </w:r>
      <w:r>
        <w:t>Walkways and exits clear; furniture stable; cables safe; LEGO and containers checked; damaged items removed.</w:t>
      </w:r>
    </w:p>
    <w:p>
      <w:pPr>
        <w:ind w:left="283" w:hanging="283"/>
      </w:pPr>
      <w:r>
        <w:rPr>
          <w:rFonts w:ascii="DejaVu Sans" w:hAnsi="DejaVu Sans"/>
        </w:rPr>
        <w:t xml:space="preserve">☐  </w:t>
      </w:r>
      <w:r>
        <w:t>Refreshments/allergen information ready; hot-drink controls in place; cleaning supplies and bin arrangements available.</w:t>
      </w:r>
    </w:p>
    <w:p>
      <w:pPr>
        <w:ind w:left="283" w:hanging="283"/>
      </w:pPr>
      <w:r>
        <w:rPr>
          <w:rFonts w:ascii="DejaVu Sans" w:hAnsi="DejaVu Sans"/>
        </w:rPr>
        <w:t xml:space="preserve">☐  </w:t>
      </w:r>
      <w:r>
        <w:t>Registration, photo-consent and incident-reporting process ready; privacy arrangements confirmed.</w:t>
      </w:r>
    </w:p>
    <w:p>
      <w:pPr>
        <w:ind w:left="283" w:hanging="283"/>
      </w:pPr>
      <w:r>
        <w:rPr>
          <w:rFonts w:ascii="DejaVu Sans" w:hAnsi="DejaVu Sans"/>
        </w:rPr>
        <w:t xml:space="preserve">☐  </w:t>
      </w:r>
      <w:r>
        <w:t>Any specific access, medical, behavioural or safeguarding plans reviewed confidentially with only relevant people.</w:t>
      </w:r>
    </w:p>
    <w:p>
      <w:pPr>
        <w:pStyle w:val="Heading1"/>
      </w:pPr>
      <w:r>
        <w:t>Approval and review</w:t>
      </w:r>
    </w:p>
    <w:p>
      <w:r>
        <w:rPr>
          <w:b w:val="0"/>
        </w:rPr>
        <w:t>Review the completed assessment after each gathering and immediately after an incident, change in venue or layout, change in activity, significant weather issue or safeguarding concern.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04"/>
        <w:gridCol w:w="7675"/>
      </w:tblGrid>
      <w:tr>
        <w:trPr>
          <w:cantSplit/>
          <w:trHeight w:val="800" w:hRule="atLeast"/>
        </w:trPr>
        <w:tc>
          <w:tcPr>
            <w:tcW w:type="dxa" w:w="2304"/>
            <w:vAlign w:val="center"/>
            <w:tcMar>
              <w:top w:w="85" w:type="dxa"/>
              <w:bottom w:w="85" w:type="dxa"/>
              <w:left w:w="100" w:type="dxa"/>
              <w:right w:w="100" w:type="dxa"/>
            </w:tcMar>
            <w:shd w:fill="DBF36B"/>
          </w:tcPr>
          <w:p>
            <w:pPr>
              <w:spacing w:after="0" w:line="250" w:lineRule="auto"/>
            </w:pPr>
            <w:r>
              <w:rPr>
                <w:rFonts w:ascii="Nunito Sans" w:hAnsi="Nunito Sans"/>
                <w:b/>
                <w:color w:val="000000"/>
                <w:sz w:val="19"/>
              </w:rPr>
              <w:t>Assessment completed by</w:t>
            </w:r>
          </w:p>
        </w:tc>
        <w:tc>
          <w:tcPr>
            <w:tcW w:type="dxa" w:w="7675"/>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[Name, role, signature and date]</w:t>
            </w:r>
          </w:p>
        </w:tc>
      </w:tr>
      <w:tr>
        <w:trPr>
          <w:cantSplit/>
          <w:trHeight w:val="800" w:hRule="atLeast"/>
        </w:trPr>
        <w:tc>
          <w:tcPr>
            <w:tcW w:type="dxa" w:w="2304"/>
            <w:vAlign w:val="center"/>
            <w:tcMar>
              <w:top w:w="85" w:type="dxa"/>
              <w:bottom w:w="85" w:type="dxa"/>
              <w:left w:w="100" w:type="dxa"/>
              <w:right w:w="100" w:type="dxa"/>
            </w:tcMar>
            <w:shd w:fill="DBF36B"/>
          </w:tcPr>
          <w:p>
            <w:pPr>
              <w:spacing w:after="0" w:line="250" w:lineRule="auto"/>
            </w:pPr>
            <w:r>
              <w:rPr>
                <w:rFonts w:ascii="Nunito Sans" w:hAnsi="Nunito Sans"/>
                <w:b/>
                <w:color w:val="000000"/>
                <w:sz w:val="19"/>
              </w:rPr>
              <w:t>Venue representative</w:t>
            </w:r>
          </w:p>
        </w:tc>
        <w:tc>
          <w:tcPr>
            <w:tcW w:type="dxa" w:w="7675"/>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[Name, role, fire arrangements checked and date]</w:t>
            </w:r>
          </w:p>
        </w:tc>
      </w:tr>
      <w:tr>
        <w:trPr>
          <w:cantSplit/>
          <w:trHeight w:val="800" w:hRule="atLeast"/>
        </w:trPr>
        <w:tc>
          <w:tcPr>
            <w:tcW w:type="dxa" w:w="2304"/>
            <w:vAlign w:val="center"/>
            <w:tcMar>
              <w:top w:w="85" w:type="dxa"/>
              <w:bottom w:w="85" w:type="dxa"/>
              <w:left w:w="100" w:type="dxa"/>
              <w:right w:w="100" w:type="dxa"/>
            </w:tcMar>
            <w:shd w:fill="DBF36B"/>
          </w:tcPr>
          <w:p>
            <w:pPr>
              <w:spacing w:after="0" w:line="250" w:lineRule="auto"/>
            </w:pPr>
            <w:r>
              <w:rPr>
                <w:rFonts w:ascii="Nunito Sans" w:hAnsi="Nunito Sans"/>
                <w:b/>
                <w:color w:val="000000"/>
                <w:sz w:val="19"/>
              </w:rPr>
              <w:t>Safeguarding Lead</w:t>
            </w:r>
          </w:p>
        </w:tc>
        <w:tc>
          <w:tcPr>
            <w:tcW w:type="dxa" w:w="7675"/>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[Name, signature and date]</w:t>
            </w:r>
          </w:p>
        </w:tc>
      </w:tr>
      <w:tr>
        <w:trPr>
          <w:cantSplit/>
          <w:trHeight w:val="800" w:hRule="atLeast"/>
        </w:trPr>
        <w:tc>
          <w:tcPr>
            <w:tcW w:type="dxa" w:w="2304"/>
            <w:vAlign w:val="center"/>
            <w:tcMar>
              <w:top w:w="85" w:type="dxa"/>
              <w:bottom w:w="85" w:type="dxa"/>
              <w:left w:w="100" w:type="dxa"/>
              <w:right w:w="100" w:type="dxa"/>
            </w:tcMar>
            <w:shd w:fill="DBF36B"/>
          </w:tcPr>
          <w:p>
            <w:pPr>
              <w:spacing w:after="0" w:line="250" w:lineRule="auto"/>
            </w:pPr>
            <w:r>
              <w:rPr>
                <w:rFonts w:ascii="Nunito Sans" w:hAnsi="Nunito Sans"/>
                <w:b/>
                <w:color w:val="000000"/>
                <w:sz w:val="19"/>
              </w:rPr>
              <w:t>Next review</w:t>
            </w:r>
          </w:p>
        </w:tc>
        <w:tc>
          <w:tcPr>
            <w:tcW w:type="dxa" w:w="7675"/>
            <w:vAlign w:val="center"/>
            <w:tcMar>
              <w:top w:w="85" w:type="dxa"/>
              <w:bottom w:w="85" w:type="dxa"/>
              <w:left w:w="100" w:type="dxa"/>
              <w:right w:w="100" w:type="dxa"/>
            </w:tcMar>
            <w:shd w:fill="FFFFFF"/>
          </w:tcPr>
          <w:p>
            <w:pPr>
              <w:spacing w:after="0" w:line="250" w:lineRule="auto"/>
            </w:pPr>
            <w:r>
              <w:rPr>
                <w:rFonts w:ascii="Nunito Sans" w:hAnsi="Nunito Sans"/>
                <w:b w:val="0"/>
                <w:color w:val="000000"/>
                <w:sz w:val="19"/>
              </w:rPr>
              <w:t>[Date]</w:t>
            </w:r>
          </w:p>
        </w:tc>
      </w:tr>
    </w:tbl>
    <w:sectPr w:rsidR="00FC693F" w:rsidRPr="0006063C" w:rsidSect="00034616">
      <w:headerReference w:type="default" r:id="rId9"/>
      <w:footerReference w:type="default" r:id="rId10"/>
      <w:pgSz w:w="11906" w:h="16838"/>
      <w:pgMar w:top="1644" w:right="964" w:bottom="964" w:left="964" w:header="51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979" w:val="right"/>
      </w:tabs>
    </w:pPr>
    <w:r>
      <w:rPr>
        <w:rFonts w:ascii="Nunito Sans" w:hAnsi="Nunito Sans"/>
        <w:sz w:val="17"/>
      </w:rPr>
      <w:t>Create!  |  Example Risk Assessment</w:t>
      <w:tab/>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979" w:val="right"/>
      </w:tabs>
      <w:spacing w:after="0"/>
    </w:pPr>
    <w:r>
      <w:drawing>
        <wp:inline xmlns:a="http://schemas.openxmlformats.org/drawingml/2006/main" xmlns:pic="http://schemas.openxmlformats.org/drawingml/2006/picture">
          <wp:extent cx="603504" cy="603504"/>
          <wp:docPr id="1" name="Picture 1" descr="Create ministry logo"/>
          <wp:cNvGraphicFramePr>
            <a:graphicFrameLocks noChangeAspect="1"/>
          </wp:cNvGraphicFramePr>
          <a:graphic>
            <a:graphicData uri="http://schemas.openxmlformats.org/drawingml/2006/picture">
              <pic:pic>
                <pic:nvPicPr>
                  <pic:cNvPr id="0" name="create-logo.png"/>
                  <pic:cNvPicPr/>
                </pic:nvPicPr>
                <pic:blipFill>
                  <a:blip r:embed="rId1"/>
                  <a:stretch>
                    <a:fillRect/>
                  </a:stretch>
                </pic:blipFill>
                <pic:spPr>
                  <a:xfrm>
                    <a:off x="0" y="0"/>
                    <a:ext cx="603504" cy="603504"/>
                  </a:xfrm>
                  <a:prstGeom prst="rect"/>
                </pic:spPr>
              </pic:pic>
            </a:graphicData>
          </a:graphic>
        </wp:inline>
      </w:drawing>
    </w:r>
    <w:r>
      <w:rPr>
        <w:rFonts w:ascii="Nunito Sans" w:hAnsi="Nunito Sans"/>
        <w:b/>
        <w:color w:val="000000"/>
        <w:sz w:val="21"/>
      </w:rPr>
      <w:tab/>
      <w:t>Firm foundations. Faith for life.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20"/>
    </w:pPr>
    <w:rPr>
      <w:rFonts w:ascii="Nunito Sans" w:hAnsi="Nunito Sans" w:eastAsia="Nunito Sans" w:cs="Nunito Sans"/>
      <w:b w:val="0"/>
      <w:i w:val="0"/>
      <w:color w:val="000000"/>
      <w:sz w:val="21"/>
      <w:spacing w:val="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Lilita One" w:hAnsi="Lilita One" w:eastAsia="Lilita One" w:cs="Lilita One"/>
      <w:b w:val="0"/>
      <w:bCs/>
      <w:i w:val="0"/>
      <w:color w:val="000000"/>
      <w:sz w:val="36"/>
      <w:szCs w:val="28"/>
      <w:spacing w:val="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Lilita One" w:hAnsi="Lilita One" w:eastAsia="Lilita One" w:cs="Lilita One"/>
      <w:b w:val="0"/>
      <w:bCs/>
      <w:i w:val="0"/>
      <w:color w:val="000000"/>
      <w:sz w:val="26"/>
      <w:szCs w:val="26"/>
      <w:spacing w:val="0"/>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Lilita One" w:hAnsi="Lilita One" w:eastAsia="Lilita One" w:cs="Lilita One"/>
      <w:b w:val="0"/>
      <w:i w:val="0"/>
      <w:color w:val="000000"/>
      <w:spacing w:val="0"/>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Nunito Sans" w:hAnsi="Nunito Sans" w:eastAsia="Nunito Sans" w:cs="Nunito Sans"/>
      <w:b/>
      <w:i w:val="0"/>
      <w:iCs/>
      <w:color w:val="000000"/>
      <w:spacing w:val="0"/>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80" w:line="257" w:lineRule="auto"/>
      <w:ind w:left="227" w:hanging="170"/>
      <w:contextualSpacing/>
    </w:pPr>
    <w:rPr>
      <w:rFonts w:ascii="Nunito Sans" w:hAnsi="Nunito Sans" w:eastAsia="Nunito Sans" w:cs="Nunito Sans"/>
      <w:b w:val="0"/>
      <w:i w:val="0"/>
      <w:color w:val="000000"/>
      <w:sz w:val="21"/>
      <w:spacing w:val="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Risk Assessment</dc:title>
  <dc:subject>Create ministry resource</dc:subject>
  <dc:creator>Create!</dc:creator>
  <cp:keywords>Create, ministry, families, firm foundations</cp:keywords>
  <dc:description/>
  <cp:lastModifiedBy/>
  <cp:revision>1</cp:revision>
  <dcterms:created xsi:type="dcterms:W3CDTF">2013-12-23T23:15:00Z</dcterms:created>
  <dcterms:modified xsi:type="dcterms:W3CDTF">2013-12-23T23:15:00Z</dcterms:modified>
  <cp:category/>
</cp:coreProperties>
</file>